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firstLine="709"/>
        <w:jc w:val="center"/>
        <w:rPr/>
      </w:pPr>
      <w:r>
        <w:rPr>
          <w:rFonts w:cs="Times New Roman"/>
          <w:color w:val="000000"/>
          <w:sz w:val="28"/>
          <w:szCs w:val="28"/>
        </w:rPr>
        <w:t>Раздел 10. Прогнозные значения предельных тарифов в области обращения с твердыми коммунальными отходами</w:t>
      </w:r>
    </w:p>
    <w:p>
      <w:pPr>
        <w:pStyle w:val="Normal"/>
        <w:spacing w:before="0" w:after="0"/>
        <w:ind w:firstLine="709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before="0" w:after="0"/>
        <w:ind w:firstLine="709"/>
        <w:rPr/>
      </w:pPr>
      <w:r>
        <w:rPr>
          <w:rFonts w:cs="Times New Roman"/>
          <w:color w:val="000000"/>
          <w:sz w:val="28"/>
          <w:szCs w:val="28"/>
        </w:rPr>
        <w:t>В соответствии с Правилами разработки, общественного обсуждения, утверждения, корректировки территориальных схем в области обращения с отходами производства и потребления, в том числе с твердыми коммунальными отходами, а также требованиями к составу и содержанию таких схем, утвержденными п</w:t>
      </w:r>
      <w:r>
        <w:rPr>
          <w:color w:val="000000"/>
        </w:rPr>
        <w:t>остановлением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color w:val="000000"/>
        </w:rPr>
        <w:t>Правительства</w:t>
      </w:r>
      <w:r>
        <w:rPr>
          <w:rFonts w:cs="Times New Roman"/>
          <w:color w:val="000000"/>
          <w:sz w:val="28"/>
          <w:szCs w:val="28"/>
        </w:rPr>
        <w:t xml:space="preserve"> Российской Федерации от 22 сентября 2018 г. № </w:t>
      </w:r>
      <w:r>
        <w:rPr>
          <w:color w:val="000000"/>
        </w:rPr>
        <w:t>1130,</w:t>
      </w:r>
      <w:r>
        <w:rPr>
          <w:rFonts w:cs="Times New Roman"/>
          <w:color w:val="000000"/>
          <w:sz w:val="28"/>
          <w:szCs w:val="28"/>
        </w:rPr>
        <w:t xml:space="preserve"> раздел 10 «Прогнозные значения предельных тарифов в области обращения с твердыми коммунальными отходами» содержит сведения о прогнозных значениях предельных тарифов в области обращения с твердыми коммунальными отходами. </w:t>
      </w:r>
    </w:p>
    <w:p>
      <w:pPr>
        <w:pStyle w:val="Normal"/>
        <w:spacing w:before="0" w:after="0"/>
        <w:ind w:firstLine="709"/>
        <w:rPr/>
      </w:pPr>
      <w:r>
        <w:rPr>
          <w:rFonts w:cs="Times New Roman"/>
          <w:color w:val="000000"/>
          <w:sz w:val="28"/>
          <w:szCs w:val="28"/>
        </w:rPr>
        <w:t>Прогнозные значения предельных тарифов в области обращения с ТКО определяются для каждой зоны регионального оператора по обращению с ТКО по аналогии с установлением тарифов в области обращения с ТКО в соответствий с Основами ценообразования в области обращения с твердыми коммунальными отходами, утвержденными постановлением Правительства Российской Федерации от 30 мая 2016 г. № 484 «О ценообразовании в области обращения с ТКО», с учетом прогнозных показателей, предусмотренных прогнозом социально-экономического развития Российской Федерации, а также объема необходимых капитальных вложений в строительство, реконструкцию, выведение из эксплуатации объектов обработки, обезвреживания, захоронения отходов.</w:t>
      </w:r>
    </w:p>
    <w:p>
      <w:pPr>
        <w:pStyle w:val="Normal"/>
        <w:spacing w:before="0" w:after="0"/>
        <w:ind w:firstLine="709"/>
        <w:rPr/>
      </w:pPr>
      <w:r>
        <w:rPr>
          <w:rFonts w:cs="Times New Roman"/>
          <w:color w:val="000000"/>
          <w:sz w:val="28"/>
          <w:szCs w:val="28"/>
        </w:rPr>
        <w:t>В затратах учитываются производственные, ремонтные, административно-хозяйственные, сбытовые, амортизационные расходы, расходы на арендную плату, на оплату работ и услуг других операторов по обращению с ТКО, расходы на обязательные платежи и взносы, расходы на приобретение и содержание контейнеров и бункеров.</w:t>
      </w:r>
    </w:p>
    <w:p>
      <w:pPr>
        <w:pStyle w:val="Normal"/>
        <w:spacing w:before="0" w:after="0"/>
        <w:ind w:firstLine="709"/>
        <w:rPr/>
      </w:pPr>
      <w:r>
        <w:rPr>
          <w:rFonts w:cs="Times New Roman"/>
          <w:color w:val="000000"/>
          <w:sz w:val="28"/>
          <w:szCs w:val="28"/>
        </w:rPr>
        <w:t>Информация об утвержденных Министерством тарифного регулирования и энергетики Челябинской области тарифах в сфере обращения с ТКО на территории Челябинской области на 2024 г. приведена в таблице 10.1.</w:t>
      </w:r>
    </w:p>
    <w:p>
      <w:pPr>
        <w:pStyle w:val="Normal"/>
        <w:spacing w:before="0"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before="0" w:after="0"/>
        <w:jc w:val="center"/>
        <w:rPr/>
      </w:pPr>
      <w:r>
        <w:rPr>
          <w:rFonts w:cs="Times New Roman"/>
          <w:sz w:val="28"/>
          <w:szCs w:val="28"/>
        </w:rPr>
        <w:t>Таблица 10.1. Тарифы в сфере обращения с ТКО на территории Челябинской области на 2024 г., утвержденные Министерством тарифного регулирования и энергетики Челябинской области</w:t>
      </w:r>
    </w:p>
    <w:tbl>
      <w:tblPr>
        <w:tblW w:w="9633" w:type="dxa"/>
        <w:jc w:val="left"/>
        <w:tblInd w:w="2" w:type="dxa"/>
        <w:tblLayout w:type="fixed"/>
        <w:tblCellMar>
          <w:top w:w="28" w:type="dxa"/>
          <w:left w:w="2" w:type="dxa"/>
          <w:bottom w:w="28" w:type="dxa"/>
          <w:right w:w="10" w:type="dxa"/>
        </w:tblCellMar>
        <w:tblLook w:firstRow="1" w:noVBand="1" w:lastRow="0" w:firstColumn="1" w:lastColumn="0" w:noHBand="0" w:val="04a0"/>
      </w:tblPr>
      <w:tblGrid>
        <w:gridCol w:w="1805"/>
        <w:gridCol w:w="2163"/>
        <w:gridCol w:w="2127"/>
        <w:gridCol w:w="1842"/>
        <w:gridCol w:w="1696"/>
      </w:tblGrid>
      <w:tr>
        <w:trPr>
          <w:tblHeader w:val="true"/>
          <w:trHeight w:val="567" w:hRule="atLeast"/>
        </w:trPr>
        <w:tc>
          <w:tcPr>
            <w:tcW w:w="180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Наименование</w:t>
            </w:r>
          </w:p>
        </w:tc>
        <w:tc>
          <w:tcPr>
            <w:tcW w:w="216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Деятельность</w:t>
            </w:r>
          </w:p>
        </w:tc>
        <w:tc>
          <w:tcPr>
            <w:tcW w:w="212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Постановление МТРиЭ</w:t>
            </w:r>
          </w:p>
        </w:tc>
        <w:tc>
          <w:tcPr>
            <w:tcW w:w="353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2024 г.</w:t>
            </w:r>
          </w:p>
        </w:tc>
      </w:tr>
      <w:tr>
        <w:trPr>
          <w:trHeight w:val="567" w:hRule="atLeast"/>
        </w:trPr>
        <w:tc>
          <w:tcPr>
            <w:tcW w:w="1805" w:type="dxa"/>
            <w:vMerge w:val="continue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</w:r>
          </w:p>
        </w:tc>
        <w:tc>
          <w:tcPr>
            <w:tcW w:w="2163" w:type="dxa"/>
            <w:vMerge w:val="continue"/>
            <w:tcBorders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</w:r>
          </w:p>
        </w:tc>
        <w:tc>
          <w:tcPr>
            <w:tcW w:w="2127" w:type="dxa"/>
            <w:vMerge w:val="continue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</w:r>
          </w:p>
        </w:tc>
        <w:tc>
          <w:tcPr>
            <w:tcW w:w="18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Тариф руб./куб</w:t>
            </w:r>
          </w:p>
        </w:tc>
        <w:tc>
          <w:tcPr>
            <w:tcW w:w="169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Тариф руб./тонну</w:t>
            </w:r>
          </w:p>
        </w:tc>
      </w:tr>
      <w:tr>
        <w:trPr>
          <w:trHeight w:val="356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ООО «Центр коммунального сервиса» (Челябинский кластер)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услуга регионального оператора по обращению с ТКО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19.12.2023 г. № 116/7</w:t>
              <w:br/>
              <w:t>от  19.12.2023 г. № 116/12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608,83/546,62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823,08/606,75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</w:tr>
      <w:tr>
        <w:trPr>
          <w:trHeight w:val="356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ООО «Центр коммунального сервиса» (Магнитогорский кластер)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услуга регионального оператора по обращению с ТКО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28.06.2024 г. № 37/3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19.12.2023 г. №116/11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776,85/545,40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1137,07/605,39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</w:tr>
      <w:tr>
        <w:trPr>
          <w:trHeight w:val="356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ООО «Центр коммунального сервиса» (Карабашский кластер)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услуга регионального оператора по обращению с ТКО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13.12.2023 г. №112/91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19.12.2023 г. №116/10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878,99/622,29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878,99/690,74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</w:tr>
      <w:tr>
        <w:trPr>
          <w:trHeight w:val="356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ООО «Спецсервис»</w:t>
              <w:br/>
              <w:t xml:space="preserve"> (Кыштымский кластер)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услуга регионального оператора по обращению с ТКО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29.02.2024 г. № 6/6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19.12.2023 г. №116/9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514,35/421,90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570,16/468,31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</w:tr>
      <w:tr>
        <w:trPr>
          <w:trHeight w:val="356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ООО «Златспецтранс»</w:t>
              <w:br/>
              <w:t>(Горный кластер)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услуга регионального оператора по обращению с ТКО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07.12.2023 г. № 110/22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19.12.2023 г. №116/8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595,18/393,51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660,64/436,80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</w:tr>
      <w:tr>
        <w:trPr>
          <w:trHeight w:val="356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 xml:space="preserve">ООО «Спецсервис» </w:t>
              <w:br/>
              <w:t>(полигон ТБО в г. Кыштыме)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захоронение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30.11.2023 г. №107/14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195,19</w:t>
            </w:r>
          </w:p>
        </w:tc>
      </w:tr>
      <w:tr>
        <w:trPr>
          <w:trHeight w:val="356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 xml:space="preserve">ООО «Спецсервис» </w:t>
              <w:br/>
              <w:t>(обезвреживание г. Кыштым)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обезвреживание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30.11.2023 г. №107/16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1 082,76/1315,06</w:t>
            </w:r>
          </w:p>
        </w:tc>
      </w:tr>
      <w:tr>
        <w:trPr>
          <w:trHeight w:val="356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 xml:space="preserve">ООО «КомСервис» </w:t>
              <w:br/>
              <w:t>(полигон ТБО в г. Сатке)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захоронение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404,83/449,28</w:t>
            </w:r>
          </w:p>
        </w:tc>
      </w:tr>
      <w:tr>
        <w:trPr>
          <w:trHeight w:val="356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ОАО «АТП» (полигон ТБО в г. Трехгорном)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захоронение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30.11.2023 г. №107/19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473,94/526,00</w:t>
            </w:r>
          </w:p>
        </w:tc>
      </w:tr>
      <w:tr>
        <w:trPr>
          <w:trHeight w:val="356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 xml:space="preserve">АО «Ситиматик» </w:t>
              <w:br/>
              <w:t>(МСК в полигоном г. Магнитогорск)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Захоронение с обработкой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28.06.2024 г. №37/2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2 744,65/3855,11</w:t>
            </w:r>
          </w:p>
        </w:tc>
      </w:tr>
      <w:tr>
        <w:trPr>
          <w:trHeight w:val="311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 xml:space="preserve">ИП Ичев В.А. </w:t>
              <w:br/>
              <w:t>(МСК в г. Кыштыме)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обработка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29.02.2024 г. №6/3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369,74/609,78</w:t>
            </w:r>
          </w:p>
        </w:tc>
      </w:tr>
      <w:tr>
        <w:trPr>
          <w:trHeight w:val="311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 xml:space="preserve">ООО «Комтранссервис+» </w:t>
              <w:br/>
              <w:t>(МСК в г. Копейске)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обработка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30.11.2023 г. №107/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843,05/1117,89</w:t>
            </w:r>
          </w:p>
        </w:tc>
      </w:tr>
      <w:tr>
        <w:trPr>
          <w:trHeight w:val="311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ООО «Комтранссервис»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захоронение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922,79</w:t>
            </w:r>
          </w:p>
        </w:tc>
      </w:tr>
      <w:tr>
        <w:trPr>
          <w:trHeight w:val="536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 xml:space="preserve">ООО «Полигон ТБО» </w:t>
              <w:br/>
              <w:t>(полигон с МСК в п. Полетаево)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Захоронение с обработкой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13.12.2023 г. №112/90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1 074,19</w:t>
            </w:r>
          </w:p>
        </w:tc>
      </w:tr>
      <w:tr>
        <w:trPr>
          <w:trHeight w:val="311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 xml:space="preserve">ООО «Спецкомплекс» </w:t>
              <w:br/>
              <w:t>(МСК в г. Магнитогорске)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обработка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30.11.2023 г. №107/25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246,36/273,34</w:t>
            </w:r>
          </w:p>
        </w:tc>
      </w:tr>
      <w:tr>
        <w:trPr>
          <w:trHeight w:val="311" w:hRule="atLeast"/>
        </w:trPr>
        <w:tc>
          <w:tcPr>
            <w:tcW w:w="1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ООО «Биотест»</w:t>
            </w:r>
          </w:p>
        </w:tc>
        <w:tc>
          <w:tcPr>
            <w:tcW w:w="21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обработка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19.12.2023 г. №116/2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6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1 213,39</w:t>
            </w:r>
          </w:p>
        </w:tc>
      </w:tr>
    </w:tbl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>
          <w:rFonts w:cs="Times New Roman"/>
          <w:color w:val="000000"/>
          <w:sz w:val="22"/>
        </w:rPr>
      </w:pPr>
      <w:r>
        <w:rPr>
          <w:rFonts w:cs="Times New Roman"/>
          <w:color w:val="000000"/>
          <w:sz w:val="22"/>
        </w:rPr>
      </w:r>
    </w:p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/>
      </w:pPr>
      <w:r>
        <w:rPr>
          <w:rFonts w:cs="Times New Roman"/>
          <w:color w:val="000000"/>
          <w:sz w:val="28"/>
          <w:szCs w:val="28"/>
        </w:rPr>
        <w:t>Министерством тарифного регулирования и энергетики Челябинской области установлены льготные тарифы на услуги по обращению с ТКО, оказываемые региональными операторами по обращению с ТКО на 2024 г. (таблица 10.2).</w:t>
      </w:r>
    </w:p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/>
      </w:pPr>
      <w:r>
        <w:rPr/>
      </w:r>
    </w:p>
    <w:p>
      <w:pPr>
        <w:pStyle w:val="Normal"/>
        <w:tabs>
          <w:tab w:val="left" w:pos="720" w:leader="none"/>
        </w:tabs>
        <w:spacing w:before="0" w:after="0"/>
        <w:contextualSpacing/>
        <w:jc w:val="center"/>
        <w:rPr/>
      </w:pPr>
      <w:r>
        <w:rPr>
          <w:rFonts w:cs="Times New Roman"/>
          <w:color w:val="000000"/>
          <w:sz w:val="28"/>
          <w:szCs w:val="28"/>
        </w:rPr>
        <w:t>Таблица 10.2 Утвержденные тарифы региональных операторов  на 2024 г.</w:t>
      </w:r>
    </w:p>
    <w:p>
      <w:pPr>
        <w:pStyle w:val="Normal"/>
        <w:tabs>
          <w:tab w:val="left" w:pos="720" w:leader="none"/>
        </w:tabs>
        <w:spacing w:before="0" w:after="0"/>
        <w:contextualSpacing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9633" w:type="dxa"/>
        <w:jc w:val="left"/>
        <w:tblInd w:w="33" w:type="dxa"/>
        <w:tblLayout w:type="fixed"/>
        <w:tblCellMar>
          <w:top w:w="55" w:type="dxa"/>
          <w:left w:w="23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342"/>
        <w:gridCol w:w="2909"/>
        <w:gridCol w:w="2549"/>
        <w:gridCol w:w="2247"/>
        <w:gridCol w:w="1586"/>
      </w:tblGrid>
      <w:tr>
        <w:trPr/>
        <w:tc>
          <w:tcPr>
            <w:tcW w:w="34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№</w:t>
            </w:r>
          </w:p>
        </w:tc>
        <w:tc>
          <w:tcPr>
            <w:tcW w:w="290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Наименование регионального оператора по обращению с ТКО (зона деятельности)</w:t>
            </w:r>
          </w:p>
        </w:tc>
        <w:tc>
          <w:tcPr>
            <w:tcW w:w="254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Постановление МТРиЭ</w:t>
            </w:r>
          </w:p>
        </w:tc>
        <w:tc>
          <w:tcPr>
            <w:tcW w:w="38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2024 г.</w:t>
            </w:r>
          </w:p>
        </w:tc>
      </w:tr>
      <w:tr>
        <w:trPr>
          <w:trHeight w:val="680" w:hRule="atLeast"/>
        </w:trPr>
        <w:tc>
          <w:tcPr>
            <w:tcW w:w="34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</w:r>
          </w:p>
        </w:tc>
        <w:tc>
          <w:tcPr>
            <w:tcW w:w="290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</w:r>
          </w:p>
        </w:tc>
        <w:tc>
          <w:tcPr>
            <w:tcW w:w="254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</w:r>
          </w:p>
        </w:tc>
        <w:tc>
          <w:tcPr>
            <w:tcW w:w="2247" w:type="dxa"/>
            <w:tcBorders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Экономически обоснованный тариф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(руб/куб.м)</w:t>
            </w:r>
          </w:p>
        </w:tc>
        <w:tc>
          <w:tcPr>
            <w:tcW w:w="158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Льготный тариф (для населения)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(руб/куб.м)</w:t>
            </w:r>
          </w:p>
        </w:tc>
      </w:tr>
      <w:tr>
        <w:trPr>
          <w:trHeight w:val="668" w:hRule="atLeast"/>
        </w:trPr>
        <w:tc>
          <w:tcPr>
            <w:tcW w:w="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ООО «Центр коммунального сервиса»</w:t>
              <w:br/>
              <w:t xml:space="preserve"> (Челябинский кластер)</w:t>
            </w:r>
          </w:p>
        </w:tc>
        <w:tc>
          <w:tcPr>
            <w:tcW w:w="25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19.12.2023 г. № 116/7</w:t>
              <w:br/>
              <w:t>от  19.12.2023 г. № 116/12</w:t>
            </w:r>
          </w:p>
        </w:tc>
        <w:tc>
          <w:tcPr>
            <w:tcW w:w="22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608,83/823,08</w:t>
            </w:r>
          </w:p>
        </w:tc>
        <w:tc>
          <w:tcPr>
            <w:tcW w:w="15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546,62/606,75</w:t>
            </w:r>
          </w:p>
        </w:tc>
      </w:tr>
      <w:tr>
        <w:trPr>
          <w:trHeight w:val="404" w:hRule="atLeast"/>
        </w:trPr>
        <w:tc>
          <w:tcPr>
            <w:tcW w:w="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2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ООО «Центр коммунального сервиса»</w:t>
              <w:br/>
              <w:t xml:space="preserve"> (Карабашский кластер)</w:t>
            </w:r>
          </w:p>
        </w:tc>
        <w:tc>
          <w:tcPr>
            <w:tcW w:w="25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13.12.2023 г. №112/91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19.12.2023 г. №116/10</w:t>
            </w:r>
          </w:p>
        </w:tc>
        <w:tc>
          <w:tcPr>
            <w:tcW w:w="22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878,99</w:t>
            </w:r>
          </w:p>
        </w:tc>
        <w:tc>
          <w:tcPr>
            <w:tcW w:w="15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622,29/690,74</w:t>
            </w:r>
          </w:p>
        </w:tc>
      </w:tr>
      <w:tr>
        <w:trPr/>
        <w:tc>
          <w:tcPr>
            <w:tcW w:w="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2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ООО «Центр коммунального сервиса»</w:t>
              <w:br/>
              <w:t>(Магнитогорский кластер)</w:t>
            </w:r>
          </w:p>
        </w:tc>
        <w:tc>
          <w:tcPr>
            <w:tcW w:w="25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28.06.2024 г. № 37/3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19.12.2023 г. №116/11</w:t>
            </w:r>
          </w:p>
        </w:tc>
        <w:tc>
          <w:tcPr>
            <w:tcW w:w="22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776,85/1137,07</w:t>
            </w:r>
          </w:p>
        </w:tc>
        <w:tc>
          <w:tcPr>
            <w:tcW w:w="15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545,40/605,39</w:t>
            </w:r>
          </w:p>
        </w:tc>
      </w:tr>
      <w:tr>
        <w:trPr/>
        <w:tc>
          <w:tcPr>
            <w:tcW w:w="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2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ООО «Спецсервис» (Кыштымский кластер)</w:t>
            </w:r>
          </w:p>
        </w:tc>
        <w:tc>
          <w:tcPr>
            <w:tcW w:w="25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29.02.2024 г. № 6/6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19.12.2023 г. №116/9</w:t>
            </w:r>
          </w:p>
        </w:tc>
        <w:tc>
          <w:tcPr>
            <w:tcW w:w="22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514,35/570,16</w:t>
            </w:r>
          </w:p>
        </w:tc>
        <w:tc>
          <w:tcPr>
            <w:tcW w:w="15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421,90/468,31</w:t>
            </w:r>
          </w:p>
        </w:tc>
      </w:tr>
      <w:tr>
        <w:trPr/>
        <w:tc>
          <w:tcPr>
            <w:tcW w:w="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5</w:t>
            </w:r>
          </w:p>
        </w:tc>
        <w:tc>
          <w:tcPr>
            <w:tcW w:w="2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ООО «Златспецтранс»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(Горный кластер)</w:t>
            </w:r>
          </w:p>
        </w:tc>
        <w:tc>
          <w:tcPr>
            <w:tcW w:w="25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07.12.2023 г. № 110/22</w:t>
            </w:r>
          </w:p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от 19.12.2023 г. №116/8</w:t>
            </w:r>
          </w:p>
        </w:tc>
        <w:tc>
          <w:tcPr>
            <w:tcW w:w="22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595,18/660,64</w:t>
            </w:r>
          </w:p>
        </w:tc>
        <w:tc>
          <w:tcPr>
            <w:tcW w:w="15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19"/>
              <w:spacing w:before="0" w:after="0"/>
              <w:jc w:val="center"/>
              <w:rPr/>
            </w:pPr>
            <w:r>
              <w:rPr>
                <w:rFonts w:cs="Times New Roman"/>
                <w:color w:val="000000"/>
                <w:sz w:val="22"/>
              </w:rPr>
              <w:t>393,51/436,80</w:t>
            </w:r>
          </w:p>
        </w:tc>
      </w:tr>
    </w:tbl>
    <w:p>
      <w:pPr>
        <w:pStyle w:val="Normal"/>
        <w:spacing w:before="0" w:after="0"/>
        <w:jc w:val="left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/>
      </w:pPr>
      <w:r>
        <w:rPr>
          <w:rFonts w:cs="Times New Roman"/>
          <w:color w:val="000000"/>
          <w:sz w:val="28"/>
          <w:szCs w:val="28"/>
        </w:rPr>
        <w:t>Прогнозные значения предельных тарифов в области обращения с ТКО для каждой зоны регионального оператора, рассчитанные по аналогии с установлением тарифов в области обращения с ТКО в соответствии с Основами ценообразования в области обращения с ТКО, утвержденными постановлением Правительства Российской Федерации от 30.05.2016 г. № 484, с учетом прогнозных показателей, предусмотренных прогнозом социально-экономического развития Российской Федерации, а также объема необходимых капитальных вложений в строительство, реконструкцию, выведение из эксплуатации объектов обработки, обезвреживания, захоронения отходов, приведены в таблицах 10.4, 10.5.</w:t>
      </w:r>
    </w:p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/>
      </w:pPr>
      <w:r>
        <w:rPr>
          <w:rFonts w:cs="Times New Roman"/>
          <w:color w:val="000000"/>
          <w:sz w:val="28"/>
          <w:szCs w:val="28"/>
        </w:rPr>
        <w:t xml:space="preserve">Тарифы являются ориентировочными, так как фактические предельные тарифы устанавливаются по заявлению регулируемой организации в отношении каждого регулируемого вида деятельности в области обращения с ТКО при согласовании инвестиционных и производственных программ в установленном порядке. </w:t>
      </w:r>
    </w:p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/>
      </w:pPr>
      <w:r>
        <w:rPr>
          <w:rFonts w:cs="Times New Roman"/>
          <w:color w:val="000000"/>
          <w:sz w:val="28"/>
          <w:szCs w:val="28"/>
        </w:rPr>
        <w:t>Прогнозные значения предельных тарифов в области обращения с ТКО не учитывают корректировок необходимой валовой выручки, в том числе проводимых в целях сглаживания, в связи с изменением законодательства, не учтенным при установлении тарифов, и в связи с возмещением расходов и недополученных доходов, а также в связи с исключением необоснованно полученных доходов. Необходимая валовая выручка регионального оператора для расчета тарифа определена, а включенная в нее необходимая валовая выручка операторов по обращению с ТКО учтена, без налога на добавленную стоимость. Особенности исчисления и уплаты налога на добавленную стоимость отдельными категориями налогоплательщиков учитываются на этапе утверждения тарифов в соответствии с действующим налоговым законодательством. Единые тарифы региональных операторов утверждаются Министерством тарифного регулирования и энергетики Челябинской области.</w:t>
      </w:r>
    </w:p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/>
      </w:pPr>
      <w:r>
        <w:rPr>
          <w:rFonts w:cs="Times New Roman"/>
          <w:color w:val="000000"/>
          <w:sz w:val="28"/>
          <w:szCs w:val="28"/>
        </w:rPr>
        <w:t>Особенности дифференциации тарифов в сфере ТКО</w:t>
      </w:r>
    </w:p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/>
      </w:pPr>
      <w:r>
        <w:rPr>
          <w:rFonts w:cs="Times New Roman"/>
          <w:color w:val="000000"/>
          <w:sz w:val="28"/>
          <w:szCs w:val="28"/>
        </w:rPr>
        <w:t xml:space="preserve">В соответствии с п. 8 </w:t>
      </w:r>
      <w:r>
        <w:rPr>
          <w:sz w:val="28"/>
          <w:szCs w:val="28"/>
        </w:rPr>
        <w:t>Основ ценообразования в области обращения с твердыми коммунальными отходами, утвержденных постановлением Правительства Российской Федерации от 30.05.2016 г. № 484, т</w:t>
      </w:r>
      <w:r>
        <w:rPr>
          <w:rFonts w:cs="Times New Roman"/>
          <w:color w:val="000000"/>
          <w:sz w:val="28"/>
          <w:szCs w:val="28"/>
        </w:rPr>
        <w:t>арифы могут дифференцироваться по муниципальным образованиям, видам твердых коммунальных отходов, а также технологическим особенностям в соответствии с территориальной схемой.</w:t>
      </w:r>
    </w:p>
    <w:p>
      <w:pPr>
        <w:pStyle w:val="Normal"/>
        <w:spacing w:before="0" w:after="0"/>
        <w:ind w:firstLine="851"/>
        <w:rPr/>
      </w:pPr>
      <w:r>
        <w:rPr>
          <w:sz w:val="28"/>
          <w:szCs w:val="28"/>
        </w:rPr>
        <w:t xml:space="preserve">Согласно технологическим особенностям, определенным территориальной схемой, в связи с отсутствием объектов обращения с ТКО (мусоросортировочных комплексов, полигонов и др.) на территории Карабашского кластера, ТКО с территории 7 муниципальных образований Карабашского кластера (Миасский ГО, Златоустовский ГО, Карабашский ГО, Уйский МР, Кусинский МР, Чебаркульский МР, Чебаркульский ГО) направляются на объект захоронения ТКО в Челябинском кластере – полигон ТКО в п. Полетаево Сосновского района, что приводит к более быстрому исчерпанию емкости указанного объекта, то есть уменьшению срока его эксплуатации. </w:t>
      </w:r>
    </w:p>
    <w:p>
      <w:pPr>
        <w:pStyle w:val="NormalWeb"/>
        <w:spacing w:beforeAutospacing="0" w:before="0" w:afterAutospacing="0" w:after="0"/>
        <w:ind w:firstLine="540"/>
        <w:jc w:val="both"/>
        <w:rPr/>
      </w:pPr>
      <w:r>
        <w:rPr>
          <w:sz w:val="28"/>
          <w:szCs w:val="28"/>
        </w:rPr>
        <w:t xml:space="preserve">В связи с этим инвестиции в реконструкцию полигона ТКО п. Полетаево, в том числе в проектирование и строительство очередной карты для захоронения ТКО, предусмотренные инвестиционной программой ООО «Полигон ТБО», с 2025 года могут быть дифференцированы по Карабашскому и Челябинскому кластеру. То есть для ООО «Полигон ТБО» могут быть установлены 2 тарифа на захоронение ТКО (с обработкой) для Карабашского и Челябинского кластеров, с учетом доступности соответствующего тарифа вследствие утверждения/корректировки инвестиционной программы ООО «Полигон ТБО». </w:t>
      </w:r>
    </w:p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/>
      </w:pPr>
      <w:r>
        <w:rPr>
          <w:sz w:val="28"/>
          <w:szCs w:val="28"/>
        </w:rPr>
        <w:t>В соответствии с действующим законодательством Российской Федерации юридические лица и индивидуальные предприниматели, осуществляющие хозяйственную и (или) иную деятельность на объектах, оказывающих негативное воздействие на окружающую среду I категории обязаны до 01.01.2025 г. получить  комплексное экологическое разрешение (далее –  КЭР).</w:t>
      </w:r>
    </w:p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/>
      </w:pPr>
      <w:r>
        <w:rPr>
          <w:sz w:val="28"/>
          <w:szCs w:val="28"/>
        </w:rPr>
        <w:t>Расходы, связанные с получением комплексного экологического разрешения, могут быть учтены при расчете необходимой валовой выручки оператора. Перечень юридических лиц, эксплуатирующих объекты обращения с ТКО, отнесенные к I категории отражен в таблице 10.3</w:t>
      </w:r>
    </w:p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tabs>
          <w:tab w:val="left" w:pos="720" w:leader="none"/>
        </w:tabs>
        <w:spacing w:before="0" w:after="0"/>
        <w:ind w:firstLine="567"/>
        <w:contextualSpacing/>
        <w:rPr/>
      </w:pPr>
      <w:r>
        <w:rPr>
          <w:rFonts w:cs="Times New Roman"/>
          <w:color w:val="000000"/>
          <w:sz w:val="28"/>
          <w:szCs w:val="28"/>
        </w:rPr>
        <w:t xml:space="preserve">Таблица 10.3. Перечень </w:t>
      </w:r>
      <w:r>
        <w:rPr>
          <w:sz w:val="28"/>
          <w:szCs w:val="28"/>
        </w:rPr>
        <w:t>юридических лиц, эксплуатирующих объекты обращения с ТКО, отнесённые к I категории ОНВОС</w:t>
      </w:r>
    </w:p>
    <w:tbl>
      <w:tblPr>
        <w:tblW w:w="5000" w:type="pct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381"/>
        <w:gridCol w:w="2669"/>
        <w:gridCol w:w="6588"/>
      </w:tblGrid>
      <w:tr>
        <w:trPr/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№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Наименование ЮЛ (ИП)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Наименование объекта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1</w:t>
            </w:r>
          </w:p>
        </w:tc>
        <w:tc>
          <w:tcPr>
            <w:tcW w:w="26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Акционерное общество «Ситиматик»</w:t>
            </w:r>
          </w:p>
        </w:tc>
        <w:tc>
          <w:tcPr>
            <w:tcW w:w="6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Межмуниципальная система коммунальной инфраструктуры на территории Челябинской области в отношении переработки и утилизации (захоронения) твердых коммунальных отходов на территории Магнитогорского кластера. Полигон захоронения ТКО с мусоросортировочным комплексом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w="26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ООО «Полигон ТБО»</w:t>
            </w:r>
          </w:p>
        </w:tc>
        <w:tc>
          <w:tcPr>
            <w:tcW w:w="6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Полигон ТБО (Полетаево)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26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ООО "КомСервис"</w:t>
            </w:r>
          </w:p>
        </w:tc>
        <w:tc>
          <w:tcPr>
            <w:tcW w:w="6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полигон ТКО города Сатка (1-я очередь)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26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ООО «Комтранссервис»</w:t>
            </w:r>
          </w:p>
        </w:tc>
        <w:tc>
          <w:tcPr>
            <w:tcW w:w="6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Полигон твердых коммунальных и промышленных отходов площадка 2 и 3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26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ООО «Спецсервис»</w:t>
            </w:r>
          </w:p>
        </w:tc>
        <w:tc>
          <w:tcPr>
            <w:tcW w:w="6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полигон промышленных и бытовых отходов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26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ОАО «Автотранспортное предприятие»</w:t>
            </w:r>
          </w:p>
        </w:tc>
        <w:tc>
          <w:tcPr>
            <w:tcW w:w="6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before="0" w:after="0"/>
              <w:ind w:firstLine="567"/>
              <w:contextualSpacing/>
              <w:jc w:val="center"/>
              <w:rPr/>
            </w:pPr>
            <w:r>
              <w:rPr>
                <w:rFonts w:cs="Times New Roman"/>
                <w:color w:val="000000"/>
                <w:szCs w:val="24"/>
              </w:rPr>
              <w:t>Полигон ТБО г. Трехгорный</w:t>
            </w:r>
          </w:p>
        </w:tc>
      </w:tr>
    </w:tbl>
    <w:p>
      <w:pPr>
        <w:sectPr>
          <w:type w:val="nextPage"/>
          <w:pgSz w:w="11906" w:h="16838"/>
          <w:pgMar w:left="1418" w:right="850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before="0" w:after="0"/>
        <w:ind w:firstLine="851"/>
        <w:jc w:val="center"/>
        <w:rPr/>
      </w:pPr>
      <w:r>
        <w:rPr>
          <w:sz w:val="28"/>
          <w:szCs w:val="28"/>
        </w:rPr>
        <w:t xml:space="preserve">Таблица 10.4. Прогнозные значения предельных тарифов в области обращения с ТКО </w:t>
        <w:br/>
        <w:t>для каждой зоны регионального оператора (руб./куб.м)</w:t>
      </w:r>
    </w:p>
    <w:p>
      <w:pPr>
        <w:pStyle w:val="Normal"/>
        <w:spacing w:before="0" w:after="0"/>
        <w:ind w:firstLine="851"/>
        <w:jc w:val="center"/>
        <w:rPr/>
      </w:pPr>
      <w:r>
        <w:rPr>
          <w:szCs w:val="24"/>
        </w:rPr>
        <w:t>Прогнозные значения предельных тарифов в области обращения с ТКО не учитывают корректировок необходимой валовой выручки, в том числе проводимых в целях сглаживания, в связи с изменением законодательства, не учтенным при установлении тарифов, и в связи с возмещением расходов и недополученных доходов, а также в связи с исключением необоснованно полученных доходов</w:t>
      </w:r>
    </w:p>
    <w:p>
      <w:pPr>
        <w:pStyle w:val="Normal"/>
        <w:spacing w:before="0" w:after="0"/>
        <w:ind w:firstLine="851"/>
        <w:jc w:val="center"/>
        <w:rPr>
          <w:lang w:val="en-US"/>
        </w:rPr>
      </w:pPr>
      <w:r>
        <w:rPr>
          <w:lang w:val="en-US"/>
        </w:rPr>
      </w:r>
    </w:p>
    <w:p>
      <w:pPr>
        <w:pStyle w:val="Normal"/>
        <w:spacing w:before="0" w:after="0"/>
        <w:ind w:firstLine="851"/>
        <w:jc w:val="center"/>
        <w:rPr>
          <w:lang w:val="en-US"/>
        </w:rPr>
      </w:pPr>
      <w:r>
        <w:rPr>
          <w:lang w:val="en-US"/>
        </w:rPr>
      </w:r>
    </w:p>
    <w:tbl>
      <w:tblPr>
        <w:tblW w:w="14400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40"/>
        <w:gridCol w:w="1060"/>
        <w:gridCol w:w="1060"/>
        <w:gridCol w:w="960"/>
        <w:gridCol w:w="959"/>
        <w:gridCol w:w="961"/>
        <w:gridCol w:w="960"/>
        <w:gridCol w:w="959"/>
        <w:gridCol w:w="961"/>
        <w:gridCol w:w="960"/>
        <w:gridCol w:w="959"/>
        <w:gridCol w:w="960"/>
      </w:tblGrid>
      <w:tr>
        <w:trPr>
          <w:trHeight w:val="315" w:hRule="atLeast"/>
        </w:trPr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Зона деятельности</w:t>
            </w:r>
          </w:p>
        </w:tc>
        <w:tc>
          <w:tcPr>
            <w:tcW w:w="10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2026</w:t>
            </w:r>
          </w:p>
        </w:tc>
        <w:tc>
          <w:tcPr>
            <w:tcW w:w="9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2027</w:t>
            </w:r>
          </w:p>
        </w:tc>
        <w:tc>
          <w:tcPr>
            <w:tcW w:w="9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2028</w:t>
            </w:r>
          </w:p>
        </w:tc>
        <w:tc>
          <w:tcPr>
            <w:tcW w:w="9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2030</w:t>
            </w:r>
          </w:p>
        </w:tc>
        <w:tc>
          <w:tcPr>
            <w:tcW w:w="9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2031</w:t>
            </w:r>
          </w:p>
        </w:tc>
        <w:tc>
          <w:tcPr>
            <w:tcW w:w="9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2032</w:t>
            </w:r>
          </w:p>
        </w:tc>
        <w:tc>
          <w:tcPr>
            <w:tcW w:w="9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2033</w:t>
            </w:r>
          </w:p>
        </w:tc>
        <w:tc>
          <w:tcPr>
            <w:tcW w:w="9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2034</w:t>
            </w:r>
          </w:p>
        </w:tc>
        <w:tc>
          <w:tcPr>
            <w:tcW w:w="9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2035</w:t>
            </w:r>
          </w:p>
        </w:tc>
      </w:tr>
      <w:tr>
        <w:trPr>
          <w:trHeight w:val="315" w:hRule="atLeast"/>
        </w:trPr>
        <w:tc>
          <w:tcPr>
            <w:tcW w:w="36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Челябинский кластер</w:t>
            </w:r>
          </w:p>
        </w:tc>
        <w:tc>
          <w:tcPr>
            <w:tcW w:w="10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10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1 307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1 460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1 517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1 618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1 680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1 717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1 779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1 846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1 915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1 987</w:t>
            </w:r>
          </w:p>
        </w:tc>
      </w:tr>
      <w:tr>
        <w:trPr>
          <w:trHeight w:val="315" w:hRule="atLeast"/>
        </w:trPr>
        <w:tc>
          <w:tcPr>
            <w:tcW w:w="36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Карабашский кластер</w:t>
            </w:r>
          </w:p>
        </w:tc>
        <w:tc>
          <w:tcPr>
            <w:tcW w:w="10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10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1 011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1 195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1 851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1 736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1 794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1 854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1 980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2 046</w:t>
            </w:r>
          </w:p>
        </w:tc>
      </w:tr>
      <w:tr>
        <w:trPr>
          <w:trHeight w:val="315" w:hRule="atLeast"/>
        </w:trPr>
        <w:tc>
          <w:tcPr>
            <w:tcW w:w="36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Магнитогорский кластер</w:t>
            </w:r>
          </w:p>
        </w:tc>
        <w:tc>
          <w:tcPr>
            <w:tcW w:w="10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1 205</w:t>
            </w:r>
          </w:p>
        </w:tc>
        <w:tc>
          <w:tcPr>
            <w:tcW w:w="10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1 252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1 314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1 372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1 434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1 497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1 563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1 632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1 703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1 777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1 853</w:t>
            </w:r>
          </w:p>
        </w:tc>
      </w:tr>
      <w:tr>
        <w:trPr>
          <w:trHeight w:val="315" w:hRule="atLeast"/>
        </w:trPr>
        <w:tc>
          <w:tcPr>
            <w:tcW w:w="36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Кыштымский кластер</w:t>
            </w:r>
          </w:p>
        </w:tc>
        <w:tc>
          <w:tcPr>
            <w:tcW w:w="10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641</w:t>
            </w:r>
          </w:p>
        </w:tc>
        <w:tc>
          <w:tcPr>
            <w:tcW w:w="10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1 020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1 055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1 091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1 128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1 167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1 207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1 249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1 292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1 337</w:t>
            </w:r>
          </w:p>
        </w:tc>
      </w:tr>
      <w:tr>
        <w:trPr>
          <w:trHeight w:val="315" w:hRule="atLeast"/>
        </w:trPr>
        <w:tc>
          <w:tcPr>
            <w:tcW w:w="36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Горный кластер</w:t>
            </w:r>
          </w:p>
        </w:tc>
        <w:tc>
          <w:tcPr>
            <w:tcW w:w="10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10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1 423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1 467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1 512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1 559</w:t>
            </w:r>
          </w:p>
        </w:tc>
        <w:tc>
          <w:tcPr>
            <w:tcW w:w="96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1 608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1 658</w:t>
            </w:r>
          </w:p>
        </w:tc>
        <w:tc>
          <w:tcPr>
            <w:tcW w:w="959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1 710</w:t>
            </w:r>
          </w:p>
        </w:tc>
        <w:tc>
          <w:tcPr>
            <w:tcW w:w="96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1 764</w:t>
            </w:r>
          </w:p>
        </w:tc>
      </w:tr>
    </w:tbl>
    <w:p>
      <w:pPr>
        <w:pStyle w:val="Normal"/>
        <w:spacing w:before="0" w:after="0"/>
        <w:rPr/>
      </w:pPr>
      <w:r>
        <w:rPr/>
      </w:r>
    </w:p>
    <w:p>
      <w:pPr>
        <w:pStyle w:val="Normal"/>
        <w:suppressAutoHyphens w:val="true"/>
        <w:spacing w:before="0" w:after="0"/>
        <w:ind w:firstLine="851"/>
        <w:rPr>
          <w:szCs w:val="24"/>
        </w:rPr>
      </w:pPr>
      <w:r>
        <w:rPr>
          <w:szCs w:val="24"/>
        </w:rPr>
      </w:r>
    </w:p>
    <w:p>
      <w:pPr>
        <w:sectPr>
          <w:headerReference w:type="default" r:id="rId2"/>
          <w:footerReference w:type="default" r:id="rId3"/>
          <w:type w:val="nextPage"/>
          <w:pgSz w:orient="landscape" w:w="16838" w:h="11906"/>
          <w:pgMar w:left="1070" w:right="1138" w:gutter="0" w:header="0" w:top="1134" w:footer="0" w:bottom="1513"/>
          <w:pgNumType w:fmt="decimal"/>
          <w:formProt w:val="false"/>
          <w:textDirection w:val="lrTb"/>
          <w:docGrid w:type="default" w:linePitch="260" w:charSpace="0"/>
        </w:sectPr>
        <w:pStyle w:val="Normal"/>
        <w:suppressAutoHyphens w:val="true"/>
        <w:spacing w:before="0" w:after="0"/>
        <w:ind w:firstLine="851"/>
        <w:rPr/>
      </w:pPr>
      <w:r>
        <w:rPr/>
        <w:t>В соответствии с постановлением Министерства тарифного регулирования и энергетики Челябинской области от 31.08.2017 г. № 42/1 «Об утверждении нормативов накопления твердых коммунальных отходов на территории Челябинской области» плотность ТКО, образующихся в ж</w:t>
      </w:r>
      <w:bookmarkStart w:id="0" w:name="__DdeLink__12193_2003649037"/>
      <w:r>
        <w:rPr/>
        <w:t>и</w:t>
      </w:r>
      <w:bookmarkEnd w:id="0"/>
      <w:r>
        <w:rPr/>
        <w:t>лом фонде - 0,115 тонн/куб.м., плотность ТКО, образующихся в коммерческом фонде - 0,075 тонн/куб.м.</w:t>
      </w:r>
    </w:p>
    <w:p>
      <w:pPr>
        <w:pStyle w:val="Normal"/>
        <w:spacing w:lineRule="auto" w:line="360" w:before="0" w:after="0"/>
        <w:ind w:firstLine="851"/>
        <w:rPr/>
      </w:pPr>
      <w:r>
        <w:rPr/>
      </w:r>
    </w:p>
    <w:p>
      <w:pPr>
        <w:pStyle w:val="Normal"/>
        <w:spacing w:before="0" w:after="0"/>
        <w:ind w:firstLine="851"/>
        <w:jc w:val="center"/>
        <w:rPr/>
      </w:pPr>
      <w:r>
        <w:rPr>
          <w:sz w:val="28"/>
          <w:szCs w:val="28"/>
        </w:rPr>
        <w:t xml:space="preserve">Таблица 10.5. Прогнозные значения предельных тарифов в области обращения с ТКО для каждой зоны регионального оператора (руб./куб.м) </w:t>
        <w:br/>
        <w:t>с календарной разбивкой</w:t>
      </w:r>
    </w:p>
    <w:p>
      <w:pPr>
        <w:pStyle w:val="Normal"/>
        <w:spacing w:before="0" w:after="0"/>
        <w:ind w:firstLine="851"/>
        <w:jc w:val="center"/>
        <w:rPr/>
      </w:pPr>
      <w:r>
        <w:rPr>
          <w:szCs w:val="24"/>
        </w:rPr>
        <w:t>Прогнозные значения предельных тарифов в области обращения с ТКО не учитывают корректировок необходимой валовой выручки, в том числе проводимых в целях сглаживания, в связи с изменением законодательства, не учтенным при установлении тарифов, и в связи с возмещением расходов и недополученных доходов, а также в связи с исключением необоснованно</w:t>
        <w:br/>
        <w:t>полученных доходов</w:t>
      </w:r>
    </w:p>
    <w:p>
      <w:pPr>
        <w:pStyle w:val="Normal"/>
        <w:spacing w:before="0" w:after="0"/>
        <w:ind w:firstLine="851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76"/>
        <w:gridCol w:w="868"/>
        <w:gridCol w:w="871"/>
        <w:gridCol w:w="785"/>
        <w:gridCol w:w="787"/>
        <w:gridCol w:w="786"/>
        <w:gridCol w:w="786"/>
        <w:gridCol w:w="784"/>
        <w:gridCol w:w="789"/>
        <w:gridCol w:w="783"/>
        <w:gridCol w:w="789"/>
        <w:gridCol w:w="783"/>
        <w:gridCol w:w="787"/>
        <w:gridCol w:w="784"/>
        <w:gridCol w:w="788"/>
        <w:gridCol w:w="783"/>
        <w:gridCol w:w="789"/>
        <w:gridCol w:w="783"/>
        <w:gridCol w:w="787"/>
        <w:gridCol w:w="784"/>
        <w:gridCol w:w="788"/>
        <w:gridCol w:w="784"/>
        <w:gridCol w:w="769"/>
      </w:tblGrid>
      <w:tr>
        <w:trPr>
          <w:trHeight w:val="315" w:hRule="atLeast"/>
        </w:trPr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Зона деятельности</w:t>
            </w:r>
          </w:p>
        </w:tc>
        <w:tc>
          <w:tcPr>
            <w:tcW w:w="1739" w:type="dxa"/>
            <w:gridSpan w:val="2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72" w:type="dxa"/>
            <w:gridSpan w:val="2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72" w:type="dxa"/>
            <w:gridSpan w:val="2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73" w:type="dxa"/>
            <w:gridSpan w:val="2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72" w:type="dxa"/>
            <w:gridSpan w:val="2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570" w:type="dxa"/>
            <w:gridSpan w:val="2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572" w:type="dxa"/>
            <w:gridSpan w:val="2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572" w:type="dxa"/>
            <w:gridSpan w:val="2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570" w:type="dxa"/>
            <w:gridSpan w:val="2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572" w:type="dxa"/>
            <w:gridSpan w:val="2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553" w:type="dxa"/>
            <w:gridSpan w:val="2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2035</w:t>
            </w:r>
          </w:p>
        </w:tc>
      </w:tr>
      <w:tr>
        <w:trPr>
          <w:trHeight w:val="315" w:hRule="atLeast"/>
        </w:trPr>
        <w:tc>
          <w:tcPr>
            <w:tcW w:w="2976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868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01.янв</w:t>
            </w:r>
          </w:p>
        </w:tc>
        <w:tc>
          <w:tcPr>
            <w:tcW w:w="871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01.июл</w:t>
            </w:r>
          </w:p>
        </w:tc>
        <w:tc>
          <w:tcPr>
            <w:tcW w:w="785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01.янв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01.июл</w:t>
            </w:r>
          </w:p>
        </w:tc>
        <w:tc>
          <w:tcPr>
            <w:tcW w:w="786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01.янв</w:t>
            </w:r>
          </w:p>
        </w:tc>
        <w:tc>
          <w:tcPr>
            <w:tcW w:w="786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01.июл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01.янв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01.июл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01.янв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01.июл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01.янв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01.июл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01.янв</w:t>
            </w:r>
          </w:p>
        </w:tc>
        <w:tc>
          <w:tcPr>
            <w:tcW w:w="788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01.июл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01.янв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01.июл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01.янв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01.июл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01.янв</w:t>
            </w:r>
          </w:p>
        </w:tc>
        <w:tc>
          <w:tcPr>
            <w:tcW w:w="788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01.июл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01.янв</w:t>
            </w:r>
          </w:p>
        </w:tc>
        <w:tc>
          <w:tcPr>
            <w:tcW w:w="769" w:type="dxa"/>
            <w:tcBorders>
              <w:bottom w:val="single" w:sz="8" w:space="0" w:color="000000"/>
              <w:right w:val="single" w:sz="8" w:space="0" w:color="000001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01.июл</w:t>
            </w:r>
          </w:p>
        </w:tc>
      </w:tr>
      <w:tr>
        <w:trPr>
          <w:trHeight w:val="315" w:hRule="atLeast"/>
        </w:trPr>
        <w:tc>
          <w:tcPr>
            <w:tcW w:w="29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Челябинский кластер</w:t>
            </w:r>
          </w:p>
        </w:tc>
        <w:tc>
          <w:tcPr>
            <w:tcW w:w="86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87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1 133</w:t>
            </w:r>
          </w:p>
        </w:tc>
        <w:tc>
          <w:tcPr>
            <w:tcW w:w="78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1 133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1 482</w:t>
            </w:r>
          </w:p>
        </w:tc>
        <w:tc>
          <w:tcPr>
            <w:tcW w:w="786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1 482</w:t>
            </w:r>
          </w:p>
        </w:tc>
        <w:tc>
          <w:tcPr>
            <w:tcW w:w="786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1 438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1 438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1 596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1 596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1 640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1 640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1 720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1 720</w:t>
            </w:r>
          </w:p>
        </w:tc>
        <w:tc>
          <w:tcPr>
            <w:tcW w:w="788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1 715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1 715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1 843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1 843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1 849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1 849</w:t>
            </w:r>
          </w:p>
        </w:tc>
        <w:tc>
          <w:tcPr>
            <w:tcW w:w="788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1 982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1 982</w:t>
            </w:r>
          </w:p>
        </w:tc>
        <w:tc>
          <w:tcPr>
            <w:tcW w:w="76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1 993</w:t>
            </w:r>
          </w:p>
        </w:tc>
      </w:tr>
      <w:tr>
        <w:trPr>
          <w:trHeight w:val="315" w:hRule="atLeast"/>
        </w:trPr>
        <w:tc>
          <w:tcPr>
            <w:tcW w:w="29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Карабашский кластер</w:t>
            </w:r>
          </w:p>
        </w:tc>
        <w:tc>
          <w:tcPr>
            <w:tcW w:w="86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879</w:t>
            </w:r>
          </w:p>
        </w:tc>
        <w:tc>
          <w:tcPr>
            <w:tcW w:w="87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1 003</w:t>
            </w:r>
          </w:p>
        </w:tc>
        <w:tc>
          <w:tcPr>
            <w:tcW w:w="78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1 003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1 019</w:t>
            </w:r>
          </w:p>
        </w:tc>
        <w:tc>
          <w:tcPr>
            <w:tcW w:w="786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1 019</w:t>
            </w:r>
          </w:p>
        </w:tc>
        <w:tc>
          <w:tcPr>
            <w:tcW w:w="786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1 371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1 371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2 222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2 222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1 480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1 480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1 992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1 992</w:t>
            </w:r>
          </w:p>
        </w:tc>
        <w:tc>
          <w:tcPr>
            <w:tcW w:w="788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1 596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1 596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2 112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2 112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1 719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1 719</w:t>
            </w:r>
          </w:p>
        </w:tc>
        <w:tc>
          <w:tcPr>
            <w:tcW w:w="788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2 240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2 240</w:t>
            </w:r>
          </w:p>
        </w:tc>
        <w:tc>
          <w:tcPr>
            <w:tcW w:w="76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1 851</w:t>
            </w:r>
          </w:p>
        </w:tc>
      </w:tr>
      <w:tr>
        <w:trPr>
          <w:trHeight w:val="315" w:hRule="atLeast"/>
        </w:trPr>
        <w:tc>
          <w:tcPr>
            <w:tcW w:w="29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Магнитогорский кластер</w:t>
            </w:r>
          </w:p>
        </w:tc>
        <w:tc>
          <w:tcPr>
            <w:tcW w:w="86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1 137</w:t>
            </w:r>
          </w:p>
        </w:tc>
        <w:tc>
          <w:tcPr>
            <w:tcW w:w="87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1 274</w:t>
            </w:r>
          </w:p>
        </w:tc>
        <w:tc>
          <w:tcPr>
            <w:tcW w:w="78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1 274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1 231</w:t>
            </w:r>
          </w:p>
        </w:tc>
        <w:tc>
          <w:tcPr>
            <w:tcW w:w="786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1 231</w:t>
            </w:r>
          </w:p>
        </w:tc>
        <w:tc>
          <w:tcPr>
            <w:tcW w:w="786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1 397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1 397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1 348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1 348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1 519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1 519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1 475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1 475</w:t>
            </w:r>
          </w:p>
        </w:tc>
        <w:tc>
          <w:tcPr>
            <w:tcW w:w="788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1 651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1 651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1 612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1 612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1 793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1 793</w:t>
            </w:r>
          </w:p>
        </w:tc>
        <w:tc>
          <w:tcPr>
            <w:tcW w:w="788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1 760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1 760</w:t>
            </w:r>
          </w:p>
        </w:tc>
        <w:tc>
          <w:tcPr>
            <w:tcW w:w="76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1 946</w:t>
            </w:r>
          </w:p>
        </w:tc>
      </w:tr>
      <w:tr>
        <w:trPr>
          <w:trHeight w:val="315" w:hRule="atLeast"/>
        </w:trPr>
        <w:tc>
          <w:tcPr>
            <w:tcW w:w="29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Кыштымский кластер</w:t>
            </w:r>
          </w:p>
        </w:tc>
        <w:tc>
          <w:tcPr>
            <w:tcW w:w="86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87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78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712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86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786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1 419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1 419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1 492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1 492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788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1 570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1 570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1 653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1 653</w:t>
            </w:r>
          </w:p>
        </w:tc>
        <w:tc>
          <w:tcPr>
            <w:tcW w:w="788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76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1 742</w:t>
            </w:r>
          </w:p>
        </w:tc>
      </w:tr>
      <w:tr>
        <w:trPr>
          <w:trHeight w:val="315" w:hRule="atLeast"/>
        </w:trPr>
        <w:tc>
          <w:tcPr>
            <w:tcW w:w="29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Горный кластер</w:t>
            </w:r>
          </w:p>
        </w:tc>
        <w:tc>
          <w:tcPr>
            <w:tcW w:w="86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871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78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786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786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1 954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1 954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788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78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2 142</w:t>
            </w:r>
          </w:p>
        </w:tc>
        <w:tc>
          <w:tcPr>
            <w:tcW w:w="78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2 142</w:t>
            </w:r>
          </w:p>
        </w:tc>
        <w:tc>
          <w:tcPr>
            <w:tcW w:w="787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1 175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1 175</w:t>
            </w:r>
          </w:p>
        </w:tc>
        <w:tc>
          <w:tcPr>
            <w:tcW w:w="788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2 246</w:t>
            </w:r>
          </w:p>
        </w:tc>
        <w:tc>
          <w:tcPr>
            <w:tcW w:w="78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2 246</w:t>
            </w:r>
          </w:p>
        </w:tc>
        <w:tc>
          <w:tcPr>
            <w:tcW w:w="769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1 282</w:t>
            </w:r>
          </w:p>
        </w:tc>
      </w:tr>
    </w:tbl>
    <w:p>
      <w:pPr>
        <w:pStyle w:val="Normal"/>
        <w:spacing w:lineRule="auto" w:line="360" w:before="0" w:after="0"/>
        <w:ind w:firstLine="851"/>
        <w:rPr/>
      </w:pPr>
      <w:r>
        <w:rPr/>
      </w:r>
      <w:bookmarkStart w:id="1" w:name="_GoBack"/>
      <w:bookmarkStart w:id="2" w:name="_GoBack"/>
      <w:bookmarkEnd w:id="2"/>
    </w:p>
    <w:sectPr>
      <w:headerReference w:type="default" r:id="rId4"/>
      <w:headerReference w:type="first" r:id="rId5"/>
      <w:footerReference w:type="default" r:id="rId6"/>
      <w:footerReference w:type="first" r:id="rId7"/>
      <w:type w:val="nextPage"/>
      <w:pgSz w:orient="landscape" w:w="22683" w:h="16838"/>
      <w:pgMar w:left="1417" w:right="850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false"/>
      <w:bidi w:val="0"/>
      <w:spacing w:before="0" w:after="160"/>
      <w:jc w:val="both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false"/>
      <w:bidi w:val="0"/>
      <w:spacing w:before="0" w:after="160"/>
      <w:jc w:val="both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false"/>
      <w:bidi w:val="0"/>
      <w:spacing w:before="0" w:after="160"/>
      <w:jc w:val="both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false"/>
      <w:bidi w:val="0"/>
      <w:spacing w:before="0" w:after="160"/>
      <w:jc w:val="both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7c3c"/>
    <w:pPr>
      <w:widowControl/>
      <w:suppressAutoHyphens w:val="false"/>
      <w:bidi w:val="0"/>
      <w:spacing w:before="0" w:after="160"/>
      <w:jc w:val="both"/>
    </w:pPr>
    <w:rPr>
      <w:rFonts w:ascii="Times New Roman" w:hAnsi="Times New Roman" w:eastAsia="Calibri" w:cs="" w:cstheme="minorBidi" w:eastAsiaTheme="minorHAnsi"/>
      <w:color w:val="00000A"/>
      <w:kern w:val="0"/>
      <w:sz w:val="24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-" w:customStyle="1">
    <w:name w:val="Стиль1-рабочий Знак"/>
    <w:basedOn w:val="DefaultParagraphFont"/>
    <w:qFormat/>
    <w:rsid w:val="00797f47"/>
    <w:rPr>
      <w:rFonts w:ascii="Times New Roman" w:hAnsi="Times New Roman" w:cs="Times New Roman"/>
      <w:color w:val="000000"/>
      <w:szCs w:val="20"/>
    </w:rPr>
  </w:style>
  <w:style w:type="character" w:styleId="1" w:customStyle="1">
    <w:name w:val="Заголовок Стиль1 Знак"/>
    <w:qFormat/>
    <w:rsid w:val="009075c4"/>
    <w:rPr>
      <w:rFonts w:ascii="Times New Roman" w:hAnsi="Times New Roman" w:eastAsia="" w:cs="Times New Roman" w:eastAsiaTheme="majorEastAsia"/>
      <w:b/>
      <w:bCs/>
      <w:color w:themeColor="accent1" w:val="4F81BD"/>
      <w:sz w:val="28"/>
      <w:szCs w:val="27"/>
      <w:lang w:eastAsia="ru-RU"/>
    </w:rPr>
  </w:style>
  <w:style w:type="character" w:styleId="3" w:customStyle="1">
    <w:name w:val="Заголовок 3 Знак"/>
    <w:basedOn w:val="DefaultParagraphFont"/>
    <w:uiPriority w:val="9"/>
    <w:semiHidden/>
    <w:qFormat/>
    <w:rsid w:val="009075c4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character" w:styleId="11" w:customStyle="1">
    <w:name w:val="Заголовок 1 Знак"/>
    <w:uiPriority w:val="9"/>
    <w:qFormat/>
    <w:rsid w:val="007326c4"/>
    <w:rPr>
      <w:rFonts w:ascii="Cambria" w:hAnsi="Cambria" w:eastAsia="Times New Roman"/>
      <w:b/>
      <w:bCs/>
      <w:sz w:val="32"/>
      <w:szCs w:val="32"/>
    </w:rPr>
  </w:style>
  <w:style w:type="character" w:styleId="Style14" w:customStyle="1">
    <w:name w:val="Абзац списка Знак"/>
    <w:uiPriority w:val="34"/>
    <w:qFormat/>
    <w:locked/>
    <w:rsid w:val="005334fe"/>
    <w:rPr>
      <w:rFonts w:ascii="Calibri" w:hAnsi="Calibri" w:eastAsia="Calibri" w:cs="" w:asciiTheme="minorHAnsi" w:cstheme="minorBidi" w:eastAsiaTheme="minorHAnsi" w:hAnsiTheme="minorHAnsi"/>
      <w:sz w:val="22"/>
      <w:szCs w:val="22"/>
    </w:rPr>
  </w:style>
  <w:style w:type="character" w:styleId="ConsPlusNormal" w:customStyle="1">
    <w:name w:val="ConsPlusNormal Знак"/>
    <w:link w:val="ConsPlusNormal1"/>
    <w:qFormat/>
    <w:locked/>
    <w:rsid w:val="005334fe"/>
    <w:rPr>
      <w:rFonts w:ascii="Times New Roman" w:hAnsi="Times New Roman"/>
      <w:sz w:val="24"/>
      <w:szCs w:val="24"/>
    </w:rPr>
  </w:style>
  <w:style w:type="character" w:styleId="Emphasis">
    <w:name w:val="Emphasis"/>
    <w:qFormat/>
    <w:rsid w:val="005725ce"/>
    <w:rPr>
      <w:i/>
      <w:iCs/>
    </w:rPr>
  </w:style>
  <w:style w:type="character" w:styleId="12" w:customStyle="1">
    <w:name w:val="Гиперссылка1"/>
    <w:basedOn w:val="DefaultParagraphFont"/>
    <w:uiPriority w:val="99"/>
    <w:unhideWhenUsed/>
    <w:qFormat/>
    <w:rsid w:val="006139fa"/>
    <w:rPr>
      <w:color w:themeColor="hyperlink" w:val="0000FF"/>
      <w:u w:val="single"/>
    </w:rPr>
  </w:style>
  <w:style w:type="character" w:styleId="Strong">
    <w:name w:val="Strong"/>
    <w:basedOn w:val="DefaultParagraphFont"/>
    <w:qFormat/>
    <w:rsid w:val="006b4d03"/>
    <w:rPr>
      <w:b/>
      <w:bCs/>
    </w:rPr>
  </w:style>
  <w:style w:type="character" w:styleId="Style15" w:customStyle="1">
    <w:name w:val="Символ сноски"/>
    <w:qFormat/>
    <w:rsid w:val="006b4d03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6" w:customStyle="1">
    <w:name w:val="Символ концевой сноски"/>
    <w:qFormat/>
    <w:rsid w:val="006b4d03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rsid w:val="00e94481"/>
    <w:pPr>
      <w:spacing w:lineRule="auto" w:line="288" w:before="0" w:after="140"/>
    </w:pPr>
    <w:rPr/>
  </w:style>
  <w:style w:type="paragraph" w:styleId="List">
    <w:name w:val="List"/>
    <w:basedOn w:val="BodyText"/>
    <w:rsid w:val="00e94481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Indexheading">
    <w:name w:val="index heading"/>
    <w:basedOn w:val="Normal"/>
    <w:qFormat/>
    <w:rsid w:val="00e94481"/>
    <w:pPr>
      <w:suppressLineNumbers/>
    </w:pPr>
    <w:rPr>
      <w:rFonts w:cs="Mangal"/>
    </w:rPr>
  </w:style>
  <w:style w:type="paragraph" w:styleId="13" w:customStyle="1">
    <w:name w:val="Заголовок1"/>
    <w:basedOn w:val="Normal"/>
    <w:next w:val="BodyText"/>
    <w:qFormat/>
    <w:rsid w:val="00e94481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14" w:customStyle="1">
    <w:name w:val="Название1"/>
    <w:basedOn w:val="Normal"/>
    <w:qFormat/>
    <w:rsid w:val="00f07369"/>
    <w:pPr>
      <w:suppressLineNumbers/>
      <w:spacing w:before="120" w:after="120"/>
    </w:pPr>
    <w:rPr>
      <w:rFonts w:cs="Arial"/>
      <w:i/>
      <w:iCs/>
      <w:szCs w:val="24"/>
    </w:rPr>
  </w:style>
  <w:style w:type="paragraph" w:styleId="2" w:customStyle="1">
    <w:name w:val="Название2"/>
    <w:basedOn w:val="Normal"/>
    <w:qFormat/>
    <w:rsid w:val="00e94481"/>
    <w:pPr>
      <w:suppressLineNumbers/>
      <w:spacing w:before="120" w:after="120"/>
    </w:pPr>
    <w:rPr>
      <w:rFonts w:cs="Mangal"/>
      <w:i/>
      <w:iCs/>
      <w:szCs w:val="24"/>
    </w:rPr>
  </w:style>
  <w:style w:type="paragraph" w:styleId="15" w:customStyle="1">
    <w:name w:val="Название объекта1"/>
    <w:basedOn w:val="Normal"/>
    <w:qFormat/>
    <w:rsid w:val="0007613d"/>
    <w:pPr>
      <w:suppressLineNumbers/>
      <w:spacing w:before="120" w:after="120"/>
    </w:pPr>
    <w:rPr>
      <w:rFonts w:cs="Mangal"/>
      <w:i/>
      <w:iCs/>
      <w:szCs w:val="24"/>
    </w:rPr>
  </w:style>
  <w:style w:type="paragraph" w:styleId="111" w:customStyle="1">
    <w:name w:val="Заголовок 11"/>
    <w:basedOn w:val="Normal"/>
    <w:uiPriority w:val="9"/>
    <w:qFormat/>
    <w:rsid w:val="007326c4"/>
    <w:pPr>
      <w:keepNext w:val="true"/>
      <w:spacing w:before="240" w:after="60"/>
      <w:outlineLvl w:val="0"/>
    </w:pPr>
    <w:rPr>
      <w:rFonts w:ascii="Cambria" w:hAnsi="Cambria" w:eastAsia="Times New Roman"/>
      <w:b/>
      <w:bCs/>
      <w:sz w:val="32"/>
      <w:szCs w:val="32"/>
    </w:rPr>
  </w:style>
  <w:style w:type="paragraph" w:styleId="31" w:customStyle="1">
    <w:name w:val="Заголовок 31"/>
    <w:basedOn w:val="Normal"/>
    <w:uiPriority w:val="9"/>
    <w:semiHidden/>
    <w:unhideWhenUsed/>
    <w:qFormat/>
    <w:rsid w:val="009075c4"/>
    <w:pPr>
      <w:keepNext w:val="true"/>
      <w:spacing w:before="240" w:after="6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paragraph" w:styleId="1-1" w:customStyle="1">
    <w:name w:val="Стиль1-рабочий"/>
    <w:basedOn w:val="Normal"/>
    <w:qFormat/>
    <w:rsid w:val="00797f47"/>
    <w:pPr>
      <w:tabs>
        <w:tab w:val="clear" w:pos="720"/>
        <w:tab w:val="left" w:pos="851" w:leader="none"/>
      </w:tabs>
      <w:jc w:val="center"/>
    </w:pPr>
    <w:rPr>
      <w:color w:val="000000"/>
      <w:szCs w:val="20"/>
    </w:rPr>
  </w:style>
  <w:style w:type="paragraph" w:styleId="16" w:customStyle="1">
    <w:name w:val="Заголовок Стиль1"/>
    <w:basedOn w:val="31"/>
    <w:qFormat/>
    <w:rsid w:val="009075c4"/>
    <w:pPr>
      <w:spacing w:beforeAutospacing="1" w:afterAutospacing="1"/>
      <w:jc w:val="center"/>
    </w:pPr>
    <w:rPr>
      <w:rFonts w:ascii="Times New Roman" w:hAnsi="Times New Roman" w:eastAsia="Times New Roman" w:cs="Times New Roman"/>
      <w:sz w:val="28"/>
      <w:szCs w:val="27"/>
    </w:rPr>
  </w:style>
  <w:style w:type="paragraph" w:styleId="ListParagraph">
    <w:name w:val="List Paragraph"/>
    <w:basedOn w:val="Normal"/>
    <w:uiPriority w:val="34"/>
    <w:qFormat/>
    <w:rsid w:val="005334fe"/>
    <w:pPr>
      <w:spacing w:before="0" w:after="160"/>
      <w:ind w:left="720"/>
      <w:contextualSpacing/>
    </w:pPr>
    <w:rPr/>
  </w:style>
  <w:style w:type="paragraph" w:styleId="ConsPlusNormal1" w:customStyle="1">
    <w:name w:val="ConsPlusNormal"/>
    <w:link w:val="ConsPlusNormal"/>
    <w:qFormat/>
    <w:rsid w:val="005334f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kern w:val="0"/>
      <w:sz w:val="24"/>
      <w:szCs w:val="24"/>
      <w:lang w:val="ru-RU" w:eastAsia="en-US" w:bidi="ar-SA"/>
    </w:rPr>
  </w:style>
  <w:style w:type="paragraph" w:styleId="Standard" w:customStyle="1">
    <w:name w:val="Standard"/>
    <w:qFormat/>
    <w:rsid w:val="005725ce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" w:hAnsi="Liberation Serif;Times New Roma" w:eastAsia="SimSun;宋体" w:cs="Mangal;Planet Benson 2"/>
      <w:color w:val="00000A"/>
      <w:kern w:val="0"/>
      <w:sz w:val="24"/>
      <w:szCs w:val="24"/>
      <w:lang w:val="en-US" w:eastAsia="zh-CN" w:bidi="hi-IN"/>
    </w:rPr>
  </w:style>
  <w:style w:type="paragraph" w:styleId="Style19" w:customStyle="1">
    <w:name w:val="Содержимое таблицы"/>
    <w:basedOn w:val="Normal"/>
    <w:qFormat/>
    <w:rsid w:val="005725ce"/>
    <w:pPr>
      <w:widowControl w:val="false"/>
      <w:suppressAutoHyphens w:val="true"/>
    </w:pPr>
    <w:rPr/>
  </w:style>
  <w:style w:type="paragraph" w:styleId="17" w:customStyle="1">
    <w:name w:val="Верхний колонтитул1"/>
    <w:basedOn w:val="Normal"/>
    <w:qFormat/>
    <w:rsid w:val="0007613d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18" w:customStyle="1">
    <w:name w:val="Нижний колонтитул1"/>
    <w:basedOn w:val="Normal"/>
    <w:qFormat/>
    <w:rsid w:val="0007613d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Style20" w:customStyle="1">
    <w:name w:val="Верхний и нижний колонтитулы"/>
    <w:basedOn w:val="Normal"/>
    <w:qFormat/>
    <w:rsid w:val="006b4d03"/>
    <w:pPr/>
    <w:rPr/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rsid w:val="006b4d03"/>
    <w:pPr/>
    <w:rPr/>
  </w:style>
  <w:style w:type="paragraph" w:styleId="Footer">
    <w:name w:val="Footer"/>
    <w:basedOn w:val="Normal"/>
    <w:rsid w:val="006b4d03"/>
    <w:pPr/>
    <w:rPr/>
  </w:style>
  <w:style w:type="paragraph" w:styleId="Default" w:customStyle="1">
    <w:name w:val="Default"/>
    <w:qFormat/>
    <w:rsid w:val="006b4d03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0"/>
      <w:lang w:val="ru-RU" w:eastAsia="en-US" w:bidi="ar-SA"/>
    </w:rPr>
  </w:style>
  <w:style w:type="paragraph" w:styleId="Style22" w:customStyle="1">
    <w:name w:val="Заголовок таблицы"/>
    <w:basedOn w:val="Style19"/>
    <w:qFormat/>
    <w:rsid w:val="006b4d03"/>
    <w:pPr>
      <w:suppressLineNumbers/>
      <w:jc w:val="center"/>
    </w:pPr>
    <w:rPr>
      <w:b/>
      <w:bCs/>
    </w:rPr>
  </w:style>
  <w:style w:type="paragraph" w:styleId="NormalWeb">
    <w:name w:val="Normal (Web)"/>
    <w:basedOn w:val="Normal"/>
    <w:uiPriority w:val="99"/>
    <w:semiHidden/>
    <w:unhideWhenUsed/>
    <w:qFormat/>
    <w:rsid w:val="00ce0dfc"/>
    <w:pPr>
      <w:spacing w:beforeAutospacing="1" w:afterAutospacing="1"/>
      <w:jc w:val="left"/>
    </w:pPr>
    <w:rPr>
      <w:rFonts w:eastAsia="Times New Roman" w:cs="Times New Roman"/>
      <w:color w:val="auto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39"/>
    <w:rsid w:val="005334fe"/>
    <w:pPr>
      <w:spacing w:after="60"/>
      <w:jc w:val="both"/>
    </w:pPr>
    <w:rPr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4A189-4ADE-4E55-8AE4-CB15D6BDB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3020</TotalTime>
  <Application>LibreOffice/7.6.4.1$Windows_X86_64 LibreOffice_project/e19e193f88cd6c0525a17fb7a176ed8e6a3e2aa1</Application>
  <AppVersion>15.0000</AppVersion>
  <Pages>5</Pages>
  <Words>1815</Words>
  <Characters>10887</Characters>
  <CharactersWithSpaces>12330</CharactersWithSpaces>
  <Paragraphs>396</Paragraphs>
  <Company>КонсультантПлюс Версия 4017.00.96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2018-12-04T11:54:00Z</dcterms:created>
  <dc:creator>Виктория</dc:creator>
  <dc:description/>
  <dc:language>ru-RU</dc:language>
  <cp:lastModifiedBy>mineco0010</cp:lastModifiedBy>
  <cp:lastPrinted>2024-10-31T06:28:00Z</cp:lastPrinted>
  <dcterms:modified xsi:type="dcterms:W3CDTF">2024-10-31T06:28:00Z</dcterms:modified>
  <cp:revision>278</cp:revision>
  <dc:subject/>
  <dc:title>Постановление Правительства РФ от 22.09.2018 N 1130"О разработке, общественном обсуждении, утверждении, корректировке территориальных схем в области обращения с отходами производства и потребления, в том числе с твердыми коммунальными отходами, а также о требованиях к составу и содержанию таких схем"(вместе с "Правилами разработки, общественного обсуждения, утверждения, корректировки территориальных схем в области обращения с отходами производства и потребления, в том числе с твердыми коммунальными отхода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